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60A27147"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5A5C1A">
        <w:rPr>
          <w:rFonts w:ascii="仿宋_GB2312" w:eastAsia="仿宋_GB2312" w:hAnsi="Calibri" w:cs="宋体" w:hint="eastAsia"/>
          <w:b/>
          <w:kern w:val="0"/>
          <w:sz w:val="32"/>
          <w:szCs w:val="32"/>
          <w:lang w:bidi="ar"/>
        </w:rPr>
        <w:t>高压静止无功发生器SVG成套装置</w:t>
      </w:r>
      <w:r w:rsidR="008543AF">
        <w:rPr>
          <w:rFonts w:ascii="仿宋_GB2312" w:eastAsia="仿宋_GB2312" w:hAnsi="Calibri" w:cs="宋体" w:hint="eastAsia"/>
          <w:b/>
          <w:kern w:val="0"/>
          <w:sz w:val="32"/>
          <w:szCs w:val="32"/>
          <w:lang w:bidi="ar"/>
        </w:rPr>
        <w:t xml:space="preserve">               </w:t>
      </w:r>
      <w:r>
        <w:rPr>
          <w:rFonts w:ascii="仿宋_GB2312" w:eastAsia="仿宋_GB2312" w:hAnsi="Calibri" w:cs="宋体" w:hint="eastAsia"/>
          <w:b/>
          <w:kern w:val="0"/>
          <w:sz w:val="32"/>
          <w:szCs w:val="32"/>
          <w:lang w:bidi="ar"/>
        </w:rPr>
        <w:t>竞争性谈判采购公告</w:t>
      </w:r>
    </w:p>
    <w:p w14:paraId="1DD23529" w14:textId="70402843"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5A5C1A" w:rsidRPr="005A5C1A">
        <w:rPr>
          <w:rFonts w:ascii="仿宋" w:eastAsia="仿宋" w:hAnsi="仿宋" w:cs="Times New Roman"/>
          <w:kern w:val="0"/>
          <w:sz w:val="28"/>
          <w:szCs w:val="28"/>
          <w:lang w:bidi="ar"/>
        </w:rPr>
        <w:t>WB26026CG2026052701201</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1A08008E"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sidR="005A5C1A">
        <w:rPr>
          <w:rFonts w:ascii="仿宋" w:eastAsia="仿宋" w:hAnsi="仿宋" w:cs="Times New Roman" w:hint="eastAsia"/>
          <w:color w:val="000000"/>
          <w:kern w:val="0"/>
          <w:sz w:val="28"/>
          <w:szCs w:val="28"/>
          <w:lang w:bidi="ar"/>
        </w:rPr>
        <w:t>高压静止无功发生器SVG成套装置</w:t>
      </w:r>
      <w:r>
        <w:rPr>
          <w:rFonts w:ascii="仿宋" w:eastAsia="仿宋" w:hAnsi="仿宋" w:cs="Times New Roman" w:hint="eastAsia"/>
          <w:color w:val="000000"/>
          <w:kern w:val="0"/>
          <w:sz w:val="28"/>
          <w:szCs w:val="28"/>
          <w:lang w:bidi="ar"/>
        </w:rPr>
        <w:t xml:space="preserve">       </w:t>
      </w:r>
    </w:p>
    <w:p w14:paraId="674F8933" w14:textId="6CCE16CF" w:rsidR="00242AD7" w:rsidRDefault="005A5C1A">
      <w:pPr>
        <w:pStyle w:val="Default"/>
        <w:widowControl/>
        <w:ind w:firstLine="480"/>
        <w:jc w:val="both"/>
      </w:pPr>
      <w:r>
        <w:rPr>
          <w:noProof/>
        </w:rPr>
        <w:drawing>
          <wp:inline distT="0" distB="0" distL="0" distR="0" wp14:anchorId="1D7E34EC" wp14:editId="265BFDE5">
            <wp:extent cx="4667121" cy="28194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62" t="7140" r="61303" b="47835"/>
                    <a:stretch/>
                  </pic:blipFill>
                  <pic:spPr bwMode="auto">
                    <a:xfrm>
                      <a:off x="0" y="0"/>
                      <a:ext cx="4676319" cy="282495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94DE249" wp14:editId="4BC601A3">
            <wp:extent cx="4666615" cy="10668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62" t="72395" r="61303" b="10566"/>
                    <a:stretch/>
                  </pic:blipFill>
                  <pic:spPr bwMode="auto">
                    <a:xfrm>
                      <a:off x="0" y="0"/>
                      <a:ext cx="4676319" cy="1069018"/>
                    </a:xfrm>
                    <a:prstGeom prst="rect">
                      <a:avLst/>
                    </a:prstGeom>
                    <a:ln>
                      <a:noFill/>
                    </a:ln>
                    <a:extLst>
                      <a:ext uri="{53640926-AAD7-44D8-BBD7-CCE9431645EC}">
                        <a14:shadowObscured xmlns:a14="http://schemas.microsoft.com/office/drawing/2010/main"/>
                      </a:ext>
                    </a:extLst>
                  </pic:spPr>
                </pic:pic>
              </a:graphicData>
            </a:graphic>
          </wp:inline>
        </w:drawing>
      </w:r>
    </w:p>
    <w:p w14:paraId="714F63E2" w14:textId="77777777" w:rsidR="00242AD7"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D9A1838"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w:t>
      </w:r>
      <w:r w:rsidR="005A5C1A">
        <w:rPr>
          <w:rFonts w:ascii="仿宋" w:eastAsia="仿宋" w:hAnsi="仿宋" w:cs="Times New Roman" w:hint="eastAsia"/>
          <w:color w:val="000000"/>
          <w:kern w:val="0"/>
          <w:sz w:val="28"/>
          <w:szCs w:val="28"/>
          <w:lang w:bidi="ar"/>
        </w:rPr>
        <w:t>指导</w:t>
      </w:r>
      <w:r>
        <w:rPr>
          <w:rFonts w:ascii="仿宋" w:eastAsia="仿宋" w:hAnsi="仿宋" w:cs="Times New Roman" w:hint="eastAsia"/>
          <w:color w:val="000000"/>
          <w:kern w:val="0"/>
          <w:sz w:val="28"/>
          <w:szCs w:val="28"/>
          <w:lang w:bidi="ar"/>
        </w:rPr>
        <w:t>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lastRenderedPageBreak/>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5AB60D5B"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9F6A02">
        <w:rPr>
          <w:rFonts w:hint="default"/>
          <w:sz w:val="28"/>
          <w:lang w:bidi="ar"/>
        </w:rPr>
        <w:t>5</w:t>
      </w:r>
      <w:r>
        <w:rPr>
          <w:sz w:val="28"/>
          <w:lang w:bidi="ar"/>
        </w:rPr>
        <w:t>月</w:t>
      </w:r>
      <w:r w:rsidR="009F6A02">
        <w:rPr>
          <w:rFonts w:hint="default"/>
          <w:sz w:val="28"/>
          <w:lang w:bidi="ar"/>
        </w:rPr>
        <w:t>28</w:t>
      </w:r>
      <w:r>
        <w:rPr>
          <w:sz w:val="28"/>
          <w:lang w:bidi="ar"/>
        </w:rPr>
        <w:t>日～ 2026年</w:t>
      </w:r>
      <w:r w:rsidR="009F6A02">
        <w:rPr>
          <w:rFonts w:hint="default"/>
          <w:sz w:val="28"/>
          <w:lang w:bidi="ar"/>
        </w:rPr>
        <w:t>6</w:t>
      </w:r>
      <w:r>
        <w:rPr>
          <w:sz w:val="28"/>
          <w:lang w:bidi="ar"/>
        </w:rPr>
        <w:t>月</w:t>
      </w:r>
      <w:r w:rsidR="009F6A02">
        <w:rPr>
          <w:rFonts w:hint="default"/>
          <w:sz w:val="28"/>
          <w:lang w:bidi="ar"/>
        </w:rPr>
        <w:t>3</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lastRenderedPageBreak/>
        <w:t>3、报名方式：</w:t>
      </w:r>
    </w:p>
    <w:p w14:paraId="14BAA6F7" w14:textId="5B10D98D" w:rsidR="00242AD7" w:rsidRDefault="008463FB">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5A5C1A">
        <w:rPr>
          <w:rFonts w:ascii="仿宋_GB2312" w:eastAsia="仿宋_GB2312" w:hAnsi="Calibri" w:cs="宋体"/>
          <w:b/>
          <w:sz w:val="28"/>
          <w:lang w:bidi="ar"/>
        </w:rPr>
        <w:t>高压静止无功发生器SVG成套装置</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48880B44"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8543AF">
        <w:rPr>
          <w:rFonts w:ascii="仿宋" w:eastAsia="仿宋" w:hAnsi="仿宋" w:cs="Times New Roman" w:hint="eastAsia"/>
          <w:kern w:val="0"/>
          <w:sz w:val="28"/>
          <w:szCs w:val="28"/>
          <w:lang w:bidi="ar"/>
        </w:rPr>
        <w:t>中国</w:t>
      </w:r>
      <w:r>
        <w:rPr>
          <w:rFonts w:ascii="仿宋" w:eastAsia="仿宋" w:hAnsi="仿宋" w:cs="Times New Roman" w:hint="eastAsia"/>
          <w:kern w:val="0"/>
          <w:sz w:val="28"/>
          <w:szCs w:val="28"/>
          <w:lang w:bidi="ar"/>
        </w:rPr>
        <w:t>工商银行</w:t>
      </w:r>
      <w:r w:rsidR="008543AF">
        <w:rPr>
          <w:rFonts w:ascii="仿宋" w:eastAsia="仿宋" w:hAnsi="仿宋" w:cs="Times New Roman" w:hint="eastAsia"/>
          <w:kern w:val="0"/>
          <w:sz w:val="28"/>
          <w:szCs w:val="28"/>
          <w:lang w:bidi="ar"/>
        </w:rPr>
        <w:t>济南</w:t>
      </w:r>
      <w:r>
        <w:rPr>
          <w:rFonts w:ascii="仿宋" w:eastAsia="仿宋" w:hAnsi="仿宋" w:cs="Times New Roman" w:hint="eastAsia"/>
          <w:kern w:val="0"/>
          <w:sz w:val="28"/>
          <w:szCs w:val="28"/>
          <w:lang w:bidi="ar"/>
        </w:rPr>
        <w:t>东</w:t>
      </w:r>
      <w:r w:rsidR="008543AF">
        <w:rPr>
          <w:rFonts w:ascii="仿宋" w:eastAsia="仿宋" w:hAnsi="仿宋" w:cs="Times New Roman" w:hint="eastAsia"/>
          <w:kern w:val="0"/>
          <w:sz w:val="28"/>
          <w:szCs w:val="28"/>
          <w:lang w:bidi="ar"/>
        </w:rPr>
        <w:t>城</w:t>
      </w:r>
      <w:r>
        <w:rPr>
          <w:rFonts w:ascii="仿宋" w:eastAsia="仿宋" w:hAnsi="仿宋" w:cs="Times New Roman" w:hint="eastAsia"/>
          <w:kern w:val="0"/>
          <w:sz w:val="28"/>
          <w:szCs w:val="28"/>
          <w:lang w:bidi="ar"/>
        </w:rPr>
        <w:t>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lastRenderedPageBreak/>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491F1A68"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lastRenderedPageBreak/>
        <w:t>1、响应文件递交截止及谈判评审开始时间：</w:t>
      </w:r>
      <w:r>
        <w:rPr>
          <w:rFonts w:ascii="仿宋" w:eastAsia="仿宋" w:hAnsi="仿宋" w:cs="Times New Roman" w:hint="eastAsia"/>
          <w:b/>
          <w:kern w:val="0"/>
          <w:sz w:val="28"/>
          <w:szCs w:val="28"/>
          <w:lang w:bidi="ar"/>
        </w:rPr>
        <w:t>2026年</w:t>
      </w:r>
      <w:r w:rsidR="009F6A02">
        <w:rPr>
          <w:rFonts w:ascii="仿宋" w:eastAsia="仿宋" w:hAnsi="仿宋" w:cs="Times New Roman"/>
          <w:b/>
          <w:kern w:val="0"/>
          <w:sz w:val="28"/>
          <w:szCs w:val="28"/>
          <w:lang w:bidi="ar"/>
        </w:rPr>
        <w:t>6</w:t>
      </w:r>
      <w:r>
        <w:rPr>
          <w:rFonts w:ascii="仿宋" w:eastAsia="仿宋" w:hAnsi="仿宋" w:cs="Times New Roman" w:hint="eastAsia"/>
          <w:b/>
          <w:kern w:val="0"/>
          <w:sz w:val="28"/>
          <w:szCs w:val="28"/>
          <w:lang w:bidi="ar"/>
        </w:rPr>
        <w:t>月</w:t>
      </w:r>
      <w:r w:rsidR="009F6A02">
        <w:rPr>
          <w:rFonts w:ascii="仿宋" w:eastAsia="仿宋" w:hAnsi="仿宋" w:cs="Times New Roman"/>
          <w:b/>
          <w:kern w:val="0"/>
          <w:sz w:val="28"/>
          <w:szCs w:val="28"/>
          <w:lang w:bidi="ar"/>
        </w:rPr>
        <w:t>9</w:t>
      </w:r>
      <w:r>
        <w:rPr>
          <w:rFonts w:ascii="仿宋" w:eastAsia="仿宋" w:hAnsi="仿宋" w:cs="Times New Roman" w:hint="eastAsia"/>
          <w:b/>
          <w:kern w:val="0"/>
          <w:sz w:val="28"/>
          <w:szCs w:val="28"/>
          <w:lang w:bidi="ar"/>
        </w:rPr>
        <w:t>日9：00。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梁工</w:t>
      </w:r>
      <w:proofErr w:type="gramEnd"/>
      <w:r>
        <w:rPr>
          <w:rFonts w:ascii="仿宋" w:eastAsia="仿宋" w:hAnsi="仿宋" w:cs="Times New Roman" w:hint="eastAsia"/>
          <w:kern w:val="0"/>
          <w:sz w:val="28"/>
          <w:szCs w:val="28"/>
          <w:lang w:bidi="ar"/>
        </w:rPr>
        <w:t xml:space="preserve">  电话：0531-62359975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7C756E13"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9F6A02">
        <w:rPr>
          <w:rFonts w:ascii="仿宋" w:eastAsia="仿宋" w:hAnsi="仿宋" w:cs="Times New Roman"/>
          <w:kern w:val="0"/>
          <w:sz w:val="28"/>
          <w:szCs w:val="28"/>
          <w:lang w:bidi="ar"/>
        </w:rPr>
        <w:t>5</w:t>
      </w:r>
      <w:r>
        <w:rPr>
          <w:rFonts w:ascii="仿宋" w:eastAsia="仿宋" w:hAnsi="仿宋" w:cs="Times New Roman" w:hint="eastAsia"/>
          <w:kern w:val="0"/>
          <w:sz w:val="28"/>
          <w:szCs w:val="28"/>
          <w:lang w:bidi="ar"/>
        </w:rPr>
        <w:t>月</w:t>
      </w:r>
      <w:r w:rsidR="009F6A02">
        <w:rPr>
          <w:rFonts w:ascii="仿宋" w:eastAsia="仿宋" w:hAnsi="仿宋" w:cs="Times New Roman"/>
          <w:kern w:val="0"/>
          <w:sz w:val="28"/>
          <w:szCs w:val="28"/>
          <w:lang w:bidi="ar"/>
        </w:rPr>
        <w:t>27</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4C349C6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proofErr w:type="gramEnd"/>
      <w:r w:rsidR="005A5C1A">
        <w:rPr>
          <w:rFonts w:ascii="仿宋_GB2312" w:eastAsia="仿宋_GB2312" w:hAnsi="Calibri" w:cs="宋体" w:hint="eastAsia"/>
          <w:kern w:val="0"/>
          <w:sz w:val="28"/>
          <w:szCs w:val="28"/>
          <w:u w:val="single"/>
          <w:lang w:bidi="ar"/>
        </w:rPr>
        <w:t>高压静止无功发生器SVG成套装置</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0E99" w14:textId="77777777" w:rsidR="005B067F" w:rsidRDefault="005B067F" w:rsidP="008463FB">
      <w:r>
        <w:separator/>
      </w:r>
    </w:p>
  </w:endnote>
  <w:endnote w:type="continuationSeparator" w:id="0">
    <w:p w14:paraId="383AD7E0" w14:textId="77777777" w:rsidR="005B067F" w:rsidRDefault="005B067F"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80BB" w14:textId="77777777" w:rsidR="005B067F" w:rsidRDefault="005B067F" w:rsidP="008463FB">
      <w:r>
        <w:separator/>
      </w:r>
    </w:p>
  </w:footnote>
  <w:footnote w:type="continuationSeparator" w:id="0">
    <w:p w14:paraId="3481D526" w14:textId="77777777" w:rsidR="005B067F" w:rsidRDefault="005B067F"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436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37129"/>
    <w:rsid w:val="000A1DC8"/>
    <w:rsid w:val="000C1A37"/>
    <w:rsid w:val="00111D1E"/>
    <w:rsid w:val="00242AD7"/>
    <w:rsid w:val="002640C3"/>
    <w:rsid w:val="002D569C"/>
    <w:rsid w:val="00365241"/>
    <w:rsid w:val="005608EB"/>
    <w:rsid w:val="005A5C1A"/>
    <w:rsid w:val="005B067F"/>
    <w:rsid w:val="00694B40"/>
    <w:rsid w:val="00751288"/>
    <w:rsid w:val="008463FB"/>
    <w:rsid w:val="008543AF"/>
    <w:rsid w:val="00867ACC"/>
    <w:rsid w:val="00992062"/>
    <w:rsid w:val="009F6A02"/>
    <w:rsid w:val="00B35400"/>
    <w:rsid w:val="00C378D4"/>
    <w:rsid w:val="00C61C44"/>
    <w:rsid w:val="00C653F1"/>
    <w:rsid w:val="00C8251D"/>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28</Pages>
  <Words>5948</Words>
  <Characters>6365</Characters>
  <Application>Microsoft Office Word</Application>
  <DocSecurity>0</DocSecurity>
  <Lines>795</Lines>
  <Paragraphs>559</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12</cp:revision>
  <dcterms:created xsi:type="dcterms:W3CDTF">2026-02-12T07:07:00Z</dcterms:created>
  <dcterms:modified xsi:type="dcterms:W3CDTF">2026-05-28T02:41:00Z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